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B12E3" w14:textId="5DB6AA27" w:rsidR="006812D6" w:rsidRDefault="006812D6" w:rsidP="006812D6">
      <w:pPr>
        <w:pStyle w:val="3GPPHeader"/>
        <w:spacing w:after="60"/>
      </w:pPr>
      <w:r>
        <w:t>3GPP TSG-RAN WG1 Meeting #116</w:t>
      </w:r>
      <w:r>
        <w:tab/>
      </w:r>
      <w:r w:rsidR="00584F8A" w:rsidRPr="00584F8A">
        <w:t>R1-2401141</w:t>
      </w:r>
    </w:p>
    <w:p w14:paraId="790094CF" w14:textId="77777777" w:rsidR="006812D6" w:rsidRPr="00CB5CA6" w:rsidRDefault="006812D6" w:rsidP="006812D6">
      <w:pPr>
        <w:pStyle w:val="3GPPHeader"/>
        <w:spacing w:after="60"/>
      </w:pPr>
      <w:r>
        <w:t>Athens, Greece, Feb 26</w:t>
      </w:r>
      <w:r w:rsidRPr="00D8012B">
        <w:rPr>
          <w:vertAlign w:val="superscript"/>
        </w:rPr>
        <w:t>th</w:t>
      </w:r>
      <w:r>
        <w:t>-March 1</w:t>
      </w:r>
      <w:r w:rsidRPr="00D8012B">
        <w:rPr>
          <w:vertAlign w:val="superscript"/>
        </w:rPr>
        <w:t>st</w:t>
      </w:r>
      <w:proofErr w:type="gramStart"/>
      <w:r>
        <w:t xml:space="preserve"> 2024</w:t>
      </w:r>
      <w:proofErr w:type="gramEnd"/>
    </w:p>
    <w:p w14:paraId="2659BD44" w14:textId="77777777" w:rsidR="006812D6" w:rsidRPr="00CB5CA6" w:rsidRDefault="006812D6" w:rsidP="006812D6">
      <w:pPr>
        <w:pStyle w:val="3GPPHeader"/>
      </w:pPr>
    </w:p>
    <w:p w14:paraId="5BBE9B1D" w14:textId="5CF5384D" w:rsidR="006812D6" w:rsidRPr="00500A64" w:rsidRDefault="006812D6" w:rsidP="006812D6">
      <w:pPr>
        <w:pStyle w:val="3GPPHeader"/>
        <w:rPr>
          <w:sz w:val="22"/>
        </w:rPr>
      </w:pPr>
      <w:r w:rsidRPr="00500A64">
        <w:rPr>
          <w:sz w:val="22"/>
        </w:rPr>
        <w:t>Agenda Item:</w:t>
      </w:r>
      <w:r w:rsidRPr="00500A64">
        <w:rPr>
          <w:sz w:val="22"/>
        </w:rPr>
        <w:tab/>
      </w:r>
      <w:r>
        <w:rPr>
          <w:sz w:val="22"/>
        </w:rPr>
        <w:t>8</w:t>
      </w:r>
      <w:r w:rsidRPr="00500A64">
        <w:rPr>
          <w:sz w:val="22"/>
        </w:rPr>
        <w:t>.</w:t>
      </w:r>
      <w:r>
        <w:rPr>
          <w:sz w:val="22"/>
        </w:rPr>
        <w:t>12.4</w:t>
      </w:r>
    </w:p>
    <w:p w14:paraId="3A519754" w14:textId="77777777" w:rsidR="006812D6" w:rsidRPr="00CE0424" w:rsidRDefault="006812D6" w:rsidP="006812D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7274BA7" w14:textId="1EC722D6" w:rsidR="006812D6" w:rsidRPr="00CE0424" w:rsidRDefault="006812D6" w:rsidP="006812D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9A52F4" w:rsidRPr="009A52F4">
        <w:rPr>
          <w:sz w:val="22"/>
        </w:rPr>
        <w:t>UE features for Rel-18 multi-carrier enhancements</w:t>
      </w:r>
    </w:p>
    <w:p w14:paraId="698E3336" w14:textId="77777777" w:rsidR="006812D6" w:rsidRPr="00CE0424" w:rsidRDefault="006812D6" w:rsidP="006812D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770C89">
        <w:rPr>
          <w:sz w:val="22"/>
        </w:rPr>
        <w:t>Discussion</w:t>
      </w:r>
    </w:p>
    <w:p w14:paraId="0F4F8DE4" w14:textId="77777777" w:rsidR="006812D6" w:rsidRPr="00CE0424" w:rsidRDefault="006812D6" w:rsidP="006812D6">
      <w:pPr>
        <w:pStyle w:val="Heading1"/>
      </w:pPr>
      <w:r>
        <w:t>1</w:t>
      </w:r>
      <w:r>
        <w:tab/>
      </w:r>
      <w:r w:rsidRPr="00CE0424">
        <w:t>Introduction</w:t>
      </w:r>
    </w:p>
    <w:p w14:paraId="7A030D2F" w14:textId="5C05B912" w:rsidR="006812D6" w:rsidRPr="00482179" w:rsidRDefault="006812D6" w:rsidP="006812D6">
      <w:pPr>
        <w:pStyle w:val="BodyText"/>
        <w:rPr>
          <w:rFonts w:cs="Arial"/>
        </w:rPr>
      </w:pPr>
      <w:r w:rsidRPr="00482179">
        <w:rPr>
          <w:rFonts w:cs="Arial"/>
        </w:rPr>
        <w:t>In this contribution we provide our views about remaining technical aspects of UE features for the Rel-1</w:t>
      </w:r>
      <w:r>
        <w:rPr>
          <w:rFonts w:cs="Arial"/>
        </w:rPr>
        <w:t>8</w:t>
      </w:r>
      <w:r w:rsidRPr="00482179">
        <w:rPr>
          <w:rFonts w:cs="Arial"/>
        </w:rPr>
        <w:t xml:space="preserve"> </w:t>
      </w:r>
      <w:r>
        <w:rPr>
          <w:rFonts w:cs="Arial"/>
        </w:rPr>
        <w:t xml:space="preserve">functionality </w:t>
      </w:r>
      <w:bookmarkStart w:id="0" w:name="_Hlk156314184"/>
      <w:r>
        <w:rPr>
          <w:rFonts w:cs="Arial"/>
        </w:rPr>
        <w:t xml:space="preserve">of </w:t>
      </w:r>
      <w:bookmarkEnd w:id="0"/>
      <w:r w:rsidR="00AF5606">
        <w:rPr>
          <w:rFonts w:cs="Arial"/>
        </w:rPr>
        <w:t>multi-carrier enhancements</w:t>
      </w:r>
      <w:r w:rsidRPr="00D8012B">
        <w:rPr>
          <w:rFonts w:cs="Arial"/>
        </w:rPr>
        <w:t>.</w:t>
      </w:r>
      <w:r>
        <w:rPr>
          <w:rFonts w:cs="Arial"/>
        </w:rPr>
        <w:t xml:space="preserve"> The latest endorsed RAN1 UE feature list is in [1] and associated LS to RAN2 is in [2].</w:t>
      </w:r>
    </w:p>
    <w:p w14:paraId="07DF07EC" w14:textId="4553F5DD" w:rsidR="006812D6" w:rsidRDefault="006812D6" w:rsidP="006812D6">
      <w:pPr>
        <w:pStyle w:val="Heading1"/>
      </w:pPr>
      <w:bookmarkStart w:id="1" w:name="_2_Rel-17_UE"/>
      <w:bookmarkStart w:id="2" w:name="_3_Rel-17_UE"/>
      <w:bookmarkStart w:id="3" w:name="_4_Rel-17_UE"/>
      <w:bookmarkStart w:id="4" w:name="_2_Rel-17_UE_1"/>
      <w:bookmarkEnd w:id="1"/>
      <w:bookmarkEnd w:id="2"/>
      <w:bookmarkEnd w:id="3"/>
      <w:bookmarkEnd w:id="4"/>
      <w:r>
        <w:t>2</w:t>
      </w:r>
      <w:r>
        <w:tab/>
        <w:t>Discussion</w:t>
      </w:r>
    </w:p>
    <w:p w14:paraId="5155CB13" w14:textId="5202CA2B" w:rsidR="00101A67" w:rsidRDefault="00976DC0" w:rsidP="006812D6">
      <w:pPr>
        <w:pStyle w:val="BodyText"/>
        <w:spacing w:before="120" w:after="0"/>
      </w:pPr>
      <w:r>
        <w:t>We make below proposals.</w:t>
      </w:r>
    </w:p>
    <w:p w14:paraId="22BEE581" w14:textId="77777777" w:rsidR="00101A67" w:rsidRDefault="00101A67" w:rsidP="00101A67">
      <w:pPr>
        <w:pStyle w:val="BodyText"/>
        <w:numPr>
          <w:ilvl w:val="0"/>
          <w:numId w:val="17"/>
        </w:numPr>
      </w:pPr>
      <w:r>
        <w:t xml:space="preserve">FG 49-1 </w:t>
      </w:r>
    </w:p>
    <w:p w14:paraId="2FE9350B" w14:textId="2DFDF50A" w:rsidR="00101A67" w:rsidRDefault="00101A67" w:rsidP="00101A67">
      <w:pPr>
        <w:pStyle w:val="BodyText"/>
        <w:numPr>
          <w:ilvl w:val="1"/>
          <w:numId w:val="17"/>
        </w:numPr>
      </w:pPr>
      <w:r>
        <w:t>There is a yellow highlighted text within component description “</w:t>
      </w:r>
      <w:r w:rsidRPr="00101A67">
        <w:rPr>
          <w:rFonts w:asciiTheme="majorHAnsi" w:hAnsiTheme="majorHAnsi" w:cstheme="majorHAnsi"/>
          <w:sz w:val="18"/>
          <w:szCs w:val="18"/>
          <w:highlight w:val="yellow"/>
        </w:rPr>
        <w:t>Note: When scheduling cell is outside the set of cells, UE is not expected to be configured with another cell to monitor PDCCH candidates for the scheduling cell]</w:t>
      </w:r>
      <w:r>
        <w:rPr>
          <w:rFonts w:asciiTheme="majorHAnsi" w:hAnsiTheme="majorHAnsi" w:cstheme="majorHAnsi"/>
          <w:sz w:val="18"/>
          <w:szCs w:val="18"/>
        </w:rPr>
        <w:t>”</w:t>
      </w:r>
      <w:r>
        <w:t>. We do not</w:t>
      </w:r>
      <w:r w:rsidR="00584F8A">
        <w:t xml:space="preserve"> think</w:t>
      </w:r>
      <w:r>
        <w:t xml:space="preserve"> this text </w:t>
      </w:r>
      <w:r w:rsidR="00584F8A">
        <w:t>i</w:t>
      </w:r>
      <w:r>
        <w:t>s ne</w:t>
      </w:r>
      <w:r w:rsidR="00584F8A">
        <w:t>eded</w:t>
      </w:r>
      <w:r>
        <w:t xml:space="preserve"> given there is already text to reflect this in 38.300 </w:t>
      </w:r>
      <w:r w:rsidR="007A1D1C">
        <w:t>(</w:t>
      </w:r>
      <w:r w:rsidR="007A1D1C" w:rsidRPr="007A1D1C">
        <w:rPr>
          <w:rFonts w:ascii="Times New Roman" w:hAnsi="Times New Roman" w:cs="Times New Roman"/>
          <w:i/>
          <w:iCs/>
          <w:sz w:val="20"/>
          <w:szCs w:val="20"/>
        </w:rPr>
        <w:t xml:space="preserve">When an </w:t>
      </w:r>
      <w:proofErr w:type="spellStart"/>
      <w:r w:rsidR="007A1D1C" w:rsidRPr="007A1D1C">
        <w:rPr>
          <w:rFonts w:ascii="Times New Roman" w:hAnsi="Times New Roman" w:cs="Times New Roman"/>
          <w:i/>
          <w:iCs/>
          <w:sz w:val="20"/>
          <w:szCs w:val="20"/>
        </w:rPr>
        <w:t>SCell</w:t>
      </w:r>
      <w:proofErr w:type="spellEnd"/>
      <w:r w:rsidR="007A1D1C" w:rsidRPr="007A1D1C">
        <w:rPr>
          <w:rFonts w:ascii="Times New Roman" w:hAnsi="Times New Roman" w:cs="Times New Roman"/>
          <w:i/>
          <w:iCs/>
          <w:sz w:val="20"/>
          <w:szCs w:val="20"/>
        </w:rPr>
        <w:t xml:space="preserve"> is configured with a PDCCH, that cell's PDSCH and PUSCH are always scheduled by the PDCCH on this </w:t>
      </w:r>
      <w:proofErr w:type="spellStart"/>
      <w:r w:rsidR="007A1D1C" w:rsidRPr="007A1D1C">
        <w:rPr>
          <w:rFonts w:ascii="Times New Roman" w:hAnsi="Times New Roman" w:cs="Times New Roman"/>
          <w:i/>
          <w:iCs/>
          <w:sz w:val="20"/>
          <w:szCs w:val="20"/>
        </w:rPr>
        <w:t>SCell</w:t>
      </w:r>
      <w:proofErr w:type="spellEnd"/>
      <w:r w:rsidR="007A1D1C" w:rsidRPr="007A1D1C">
        <w:rPr>
          <w:rFonts w:ascii="Times New Roman" w:hAnsi="Times New Roman" w:cs="Times New Roman"/>
          <w:i/>
          <w:iCs/>
          <w:sz w:val="20"/>
          <w:szCs w:val="20"/>
        </w:rPr>
        <w:t>;)</w:t>
      </w:r>
      <w:r w:rsidRPr="007A1D1C">
        <w:rPr>
          <w:rFonts w:ascii="Times New Roman" w:hAnsi="Times New Roman" w:cs="Times New Roman"/>
          <w:i/>
          <w:iCs/>
          <w:sz w:val="20"/>
          <w:szCs w:val="20"/>
        </w:rPr>
        <w:t>.</w:t>
      </w:r>
      <w:r>
        <w:t xml:space="preserve"> So</w:t>
      </w:r>
      <w:r w:rsidR="007A1D1C">
        <w:t>,</w:t>
      </w:r>
      <w:r>
        <w:t xml:space="preserve"> we </w:t>
      </w:r>
      <w:r w:rsidR="007A1D1C">
        <w:t>suggest</w:t>
      </w:r>
      <w:r>
        <w:t xml:space="preserve"> </w:t>
      </w:r>
      <w:r w:rsidR="007A1D1C">
        <w:t>removing</w:t>
      </w:r>
      <w:r>
        <w:t xml:space="preserve"> the yellow text. </w:t>
      </w:r>
    </w:p>
    <w:p w14:paraId="783F6297" w14:textId="227CB0A2" w:rsidR="00101A67" w:rsidRDefault="00101A67" w:rsidP="00101A67">
      <w:pPr>
        <w:pStyle w:val="BodyText"/>
        <w:numPr>
          <w:ilvl w:val="0"/>
          <w:numId w:val="17"/>
        </w:numPr>
      </w:pPr>
      <w:r>
        <w:t>FG 49-2</w:t>
      </w:r>
    </w:p>
    <w:p w14:paraId="0AA85561" w14:textId="08D1EC0E" w:rsidR="007A1D1C" w:rsidRDefault="00584F8A" w:rsidP="007A1D1C">
      <w:pPr>
        <w:pStyle w:val="BodyText"/>
        <w:numPr>
          <w:ilvl w:val="1"/>
          <w:numId w:val="17"/>
        </w:numPr>
      </w:pPr>
      <w:r>
        <w:t>C</w:t>
      </w:r>
      <w:r w:rsidR="007A1D1C">
        <w:t xml:space="preserve">onfirm the #DCIs in component#9 by eliminating the square brackets, </w:t>
      </w:r>
      <w:proofErr w:type="gramStart"/>
      <w:r w:rsidR="007A1D1C">
        <w:t xml:space="preserve">“ </w:t>
      </w:r>
      <w:r w:rsidR="007A1D1C" w:rsidRPr="007A1D1C">
        <w:rPr>
          <w:strike/>
          <w:color w:val="FF0000"/>
        </w:rPr>
        <w:t>[</w:t>
      </w:r>
      <w:proofErr w:type="gramEnd"/>
      <w:r w:rsidR="007A1D1C" w:rsidRPr="007A1D1C">
        <w:rPr>
          <w:strike/>
          <w:color w:val="FF0000"/>
        </w:rPr>
        <w:t>Up to]</w:t>
      </w:r>
      <w:r w:rsidR="007A1D1C" w:rsidRPr="007A1D1C">
        <w:rPr>
          <w:color w:val="FF0000"/>
        </w:rPr>
        <w:t xml:space="preserve"> Up to</w:t>
      </w:r>
      <w:r w:rsidR="007A1D1C">
        <w:rPr>
          <w:color w:val="FF0000"/>
        </w:rPr>
        <w:t>”</w:t>
      </w:r>
    </w:p>
    <w:p w14:paraId="5B2C2E3F" w14:textId="70379961" w:rsidR="007A1D1C" w:rsidRDefault="007A1D1C" w:rsidP="007A1D1C">
      <w:pPr>
        <w:pStyle w:val="BodyText"/>
        <w:numPr>
          <w:ilvl w:val="1"/>
          <w:numId w:val="17"/>
        </w:numPr>
      </w:pPr>
      <w:r>
        <w:t>There is a yellow highlighted text within component description “</w:t>
      </w:r>
      <w:r w:rsidRPr="00101A67">
        <w:rPr>
          <w:rFonts w:asciiTheme="majorHAnsi" w:hAnsiTheme="majorHAnsi" w:cstheme="majorHAnsi"/>
          <w:sz w:val="18"/>
          <w:szCs w:val="18"/>
          <w:highlight w:val="yellow"/>
        </w:rPr>
        <w:t>Note: When scheduling cell is outside the set of cells, UE is not expected to be configured with another cell to monitor PDCCH candidates for the scheduling cell]</w:t>
      </w:r>
      <w:r>
        <w:rPr>
          <w:rFonts w:asciiTheme="majorHAnsi" w:hAnsiTheme="majorHAnsi" w:cstheme="majorHAnsi"/>
          <w:sz w:val="18"/>
          <w:szCs w:val="18"/>
        </w:rPr>
        <w:t>”</w:t>
      </w:r>
      <w:r>
        <w:t xml:space="preserve">. </w:t>
      </w:r>
      <w:r w:rsidR="00584F8A">
        <w:t>Like earlier comment for FG49-1,</w:t>
      </w:r>
      <w:r>
        <w:t xml:space="preserve"> </w:t>
      </w:r>
      <w:r w:rsidR="00584F8A">
        <w:t>w</w:t>
      </w:r>
      <w:r>
        <w:t xml:space="preserve">e suggest removing the yellow text. </w:t>
      </w:r>
    </w:p>
    <w:p w14:paraId="18790AAA" w14:textId="37F40A7C" w:rsidR="00101A67" w:rsidRPr="005927A4" w:rsidRDefault="00101A67" w:rsidP="00101A67">
      <w:pPr>
        <w:pStyle w:val="BodyText"/>
      </w:pPr>
    </w:p>
    <w:p w14:paraId="022BA77C" w14:textId="77777777" w:rsidR="00101A67" w:rsidRDefault="00101A67" w:rsidP="00101A67">
      <w:pPr>
        <w:pStyle w:val="BodyText"/>
        <w:numPr>
          <w:ilvl w:val="0"/>
          <w:numId w:val="17"/>
        </w:numPr>
      </w:pPr>
      <w:r>
        <w:t>FG 49-3x</w:t>
      </w:r>
    </w:p>
    <w:p w14:paraId="5FC501FB" w14:textId="5D472E73" w:rsidR="00101A67" w:rsidRDefault="00101A67" w:rsidP="00101A67">
      <w:pPr>
        <w:pStyle w:val="BodyText"/>
        <w:numPr>
          <w:ilvl w:val="0"/>
          <w:numId w:val="17"/>
        </w:numPr>
        <w:ind w:left="720"/>
      </w:pPr>
      <w:r>
        <w:t xml:space="preserve">This FG is used for UE indication of increased number of unicast DCIs </w:t>
      </w:r>
      <w:r w:rsidRPr="005E4BB7">
        <w:rPr>
          <w:color w:val="000000" w:themeColor="text1"/>
        </w:rPr>
        <w:t>(like FG 18-5c/5d)</w:t>
      </w:r>
      <w:r>
        <w:rPr>
          <w:color w:val="000000" w:themeColor="text1"/>
        </w:rPr>
        <w:t xml:space="preserve"> and following the same principle as 49-1 regarding #DCIs, </w:t>
      </w:r>
      <w:proofErr w:type="gramStart"/>
      <w:r>
        <w:rPr>
          <w:color w:val="000000" w:themeColor="text1"/>
        </w:rPr>
        <w:t>i.e.</w:t>
      </w:r>
      <w:proofErr w:type="gramEnd"/>
      <w:r>
        <w:rPr>
          <w:color w:val="000000" w:themeColor="text1"/>
        </w:rPr>
        <w:t xml:space="preserve"> limiting it to scheduling cell is not in the set. </w:t>
      </w:r>
      <w:r w:rsidR="00976DC0">
        <w:rPr>
          <w:color w:val="000000" w:themeColor="text1"/>
        </w:rPr>
        <w:t>So, we suggest starting with the below as component for this FG. Also, FG 49-1b could be added as pre-requisite.</w:t>
      </w:r>
    </w:p>
    <w:p w14:paraId="23E9F465" w14:textId="77777777" w:rsidR="00101A67" w:rsidRPr="00976DC0" w:rsidRDefault="00101A67" w:rsidP="00101A67">
      <w:pPr>
        <w:numPr>
          <w:ilvl w:val="1"/>
          <w:numId w:val="17"/>
        </w:numPr>
        <w:spacing w:after="0"/>
        <w:rPr>
          <w:rFonts w:ascii="Arial" w:eastAsia="MS Mincho" w:hAnsi="Arial" w:cs="Arial"/>
          <w:color w:val="000000"/>
          <w:lang w:eastAsia="ja-JP"/>
        </w:rPr>
      </w:pPr>
      <w:bookmarkStart w:id="5" w:name="_Toc134887445"/>
      <w:r w:rsidRPr="00976DC0">
        <w:rPr>
          <w:rFonts w:ascii="Arial" w:eastAsia="MS Mincho" w:hAnsi="Arial" w:cs="Arial"/>
          <w:color w:val="000000"/>
          <w:lang w:eastAsia="ja-JP"/>
        </w:rPr>
        <w:t xml:space="preserve">If the scheduling cell is NOT in the </w:t>
      </w:r>
      <w:proofErr w:type="gramStart"/>
      <w:r w:rsidRPr="00976DC0">
        <w:rPr>
          <w:rFonts w:ascii="Arial" w:eastAsia="MS Mincho" w:hAnsi="Arial" w:cs="Arial"/>
          <w:color w:val="000000"/>
          <w:lang w:eastAsia="ja-JP"/>
        </w:rPr>
        <w:t>set;</w:t>
      </w:r>
      <w:proofErr w:type="gramEnd"/>
    </w:p>
    <w:p w14:paraId="61519AFC" w14:textId="77777777" w:rsidR="00101A67" w:rsidRPr="00976DC0" w:rsidRDefault="00101A67" w:rsidP="00101A67">
      <w:pPr>
        <w:pStyle w:val="Proposal"/>
        <w:numPr>
          <w:ilvl w:val="1"/>
          <w:numId w:val="18"/>
        </w:numPr>
        <w:ind w:left="2520"/>
        <w:rPr>
          <w:rFonts w:eastAsia="Times New Roman"/>
          <w:b w:val="0"/>
          <w:bCs w:val="0"/>
          <w:lang w:eastAsia="ja-JP"/>
        </w:rPr>
      </w:pPr>
      <w:r w:rsidRPr="00976DC0">
        <w:rPr>
          <w:b w:val="0"/>
          <w:bCs w:val="0"/>
        </w:rPr>
        <w:t xml:space="preserve">Processing up to X unicast DCI scheduling for DL per set of </w:t>
      </w:r>
      <w:proofErr w:type="gramStart"/>
      <w:r w:rsidRPr="00976DC0">
        <w:rPr>
          <w:b w:val="0"/>
          <w:bCs w:val="0"/>
        </w:rPr>
        <w:t>cells</w:t>
      </w:r>
      <w:bookmarkEnd w:id="5"/>
      <w:proofErr w:type="gramEnd"/>
    </w:p>
    <w:p w14:paraId="12B39CA7" w14:textId="77777777" w:rsidR="00101A67" w:rsidRPr="00976DC0" w:rsidRDefault="00101A67" w:rsidP="00101A67">
      <w:pPr>
        <w:pStyle w:val="Proposal"/>
        <w:numPr>
          <w:ilvl w:val="2"/>
          <w:numId w:val="18"/>
        </w:numPr>
        <w:ind w:left="3240"/>
        <w:rPr>
          <w:rFonts w:eastAsiaTheme="minorEastAsia"/>
          <w:b w:val="0"/>
          <w:bCs w:val="0"/>
          <w:lang w:eastAsia="en-US"/>
        </w:rPr>
      </w:pPr>
      <w:bookmarkStart w:id="6" w:name="_Toc134887446"/>
      <w:r w:rsidRPr="00976DC0">
        <w:rPr>
          <w:b w:val="0"/>
          <w:bCs w:val="0"/>
        </w:rPr>
        <w:t>X is based on pair of (scheduling CC SCS, SCS of the set of cells):</w:t>
      </w:r>
      <w:bookmarkEnd w:id="6"/>
    </w:p>
    <w:p w14:paraId="0F8D63C0" w14:textId="77777777" w:rsidR="00101A67" w:rsidRPr="00976DC0" w:rsidRDefault="00101A67" w:rsidP="00101A67">
      <w:pPr>
        <w:pStyle w:val="Proposal"/>
        <w:numPr>
          <w:ilvl w:val="2"/>
          <w:numId w:val="18"/>
        </w:numPr>
        <w:ind w:left="3240"/>
        <w:rPr>
          <w:b w:val="0"/>
          <w:bCs w:val="0"/>
        </w:rPr>
      </w:pPr>
      <w:bookmarkStart w:id="7" w:name="_Toc134887447"/>
      <w:r w:rsidRPr="00976DC0">
        <w:rPr>
          <w:b w:val="0"/>
          <w:bCs w:val="0"/>
        </w:rPr>
        <w:t>Candidate value(s) of X</w:t>
      </w:r>
      <w:bookmarkEnd w:id="7"/>
    </w:p>
    <w:p w14:paraId="3E386F41" w14:textId="77777777" w:rsidR="00101A67" w:rsidRPr="00976DC0" w:rsidRDefault="00101A67" w:rsidP="00101A67">
      <w:pPr>
        <w:pStyle w:val="Proposal"/>
        <w:numPr>
          <w:ilvl w:val="3"/>
          <w:numId w:val="18"/>
        </w:numPr>
        <w:ind w:left="3960"/>
        <w:rPr>
          <w:b w:val="0"/>
          <w:bCs w:val="0"/>
        </w:rPr>
      </w:pPr>
      <w:bookmarkStart w:id="8" w:name="_Toc134887448"/>
      <w:r w:rsidRPr="00976DC0">
        <w:rPr>
          <w:b w:val="0"/>
          <w:bCs w:val="0"/>
        </w:rPr>
        <w:t>X</w:t>
      </w:r>
      <w:proofErr w:type="gramStart"/>
      <w:r w:rsidRPr="00976DC0">
        <w:rPr>
          <w:b w:val="0"/>
          <w:bCs w:val="0"/>
        </w:rPr>
        <w:t>={</w:t>
      </w:r>
      <w:proofErr w:type="gramEnd"/>
      <w:r w:rsidRPr="00976DC0">
        <w:rPr>
          <w:b w:val="0"/>
          <w:bCs w:val="0"/>
        </w:rPr>
        <w:t>2} for (15kHz,30kHz), (30kHz,60kHz), (60kHz,120 kHz)</w:t>
      </w:r>
      <w:bookmarkEnd w:id="8"/>
    </w:p>
    <w:p w14:paraId="1610D46D" w14:textId="77777777" w:rsidR="00101A67" w:rsidRPr="00976DC0" w:rsidRDefault="00101A67" w:rsidP="00101A67">
      <w:pPr>
        <w:pStyle w:val="Proposal"/>
        <w:numPr>
          <w:ilvl w:val="3"/>
          <w:numId w:val="18"/>
        </w:numPr>
        <w:ind w:left="3960"/>
        <w:rPr>
          <w:b w:val="0"/>
          <w:bCs w:val="0"/>
        </w:rPr>
      </w:pPr>
      <w:bookmarkStart w:id="9" w:name="_Toc134887449"/>
      <w:r w:rsidRPr="00976DC0">
        <w:rPr>
          <w:b w:val="0"/>
          <w:bCs w:val="0"/>
        </w:rPr>
        <w:t>X</w:t>
      </w:r>
      <w:proofErr w:type="gramStart"/>
      <w:r w:rsidRPr="00976DC0">
        <w:rPr>
          <w:b w:val="0"/>
          <w:bCs w:val="0"/>
        </w:rPr>
        <w:t>={</w:t>
      </w:r>
      <w:proofErr w:type="gramEnd"/>
      <w:r w:rsidRPr="00976DC0">
        <w:rPr>
          <w:b w:val="0"/>
          <w:bCs w:val="0"/>
        </w:rPr>
        <w:t>2,4} for (15 kHz,120 kHz), (15 kHz,60 kHz), (30kHz,120kHz)</w:t>
      </w:r>
      <w:bookmarkEnd w:id="9"/>
      <w:r w:rsidRPr="00976DC0">
        <w:rPr>
          <w:b w:val="0"/>
          <w:bCs w:val="0"/>
        </w:rPr>
        <w:t xml:space="preserve"> </w:t>
      </w:r>
    </w:p>
    <w:p w14:paraId="1EB21BD6" w14:textId="77777777" w:rsidR="00101A67" w:rsidRPr="00976DC0" w:rsidRDefault="00101A67" w:rsidP="00101A67">
      <w:pPr>
        <w:pStyle w:val="Proposal"/>
        <w:numPr>
          <w:ilvl w:val="2"/>
          <w:numId w:val="18"/>
        </w:numPr>
        <w:ind w:left="3240"/>
        <w:rPr>
          <w:b w:val="0"/>
          <w:bCs w:val="0"/>
          <w:color w:val="000000" w:themeColor="text1"/>
        </w:rPr>
      </w:pPr>
      <w:bookmarkStart w:id="10" w:name="_Toc134887450"/>
      <w:r w:rsidRPr="00976DC0">
        <w:rPr>
          <w:b w:val="0"/>
          <w:bCs w:val="0"/>
        </w:rPr>
        <w:t>X applies per slot of scheduling CC</w:t>
      </w:r>
      <w:bookmarkEnd w:id="10"/>
      <w:r w:rsidRPr="00976DC0">
        <w:rPr>
          <w:b w:val="0"/>
          <w:bCs w:val="0"/>
          <w:color w:val="000000" w:themeColor="text1"/>
        </w:rPr>
        <w:t xml:space="preserve"> </w:t>
      </w:r>
    </w:p>
    <w:p w14:paraId="3E410CEB" w14:textId="77777777" w:rsidR="00101A67" w:rsidRPr="000B5F6B" w:rsidRDefault="00101A67" w:rsidP="00101A67">
      <w:pPr>
        <w:pStyle w:val="BodyText"/>
        <w:numPr>
          <w:ilvl w:val="0"/>
          <w:numId w:val="17"/>
        </w:numPr>
      </w:pPr>
      <w:r>
        <w:t>49-2b</w:t>
      </w:r>
    </w:p>
    <w:p w14:paraId="7AB7FEA3" w14:textId="77777777" w:rsidR="00584F8A" w:rsidRDefault="00584F8A" w:rsidP="00584F8A">
      <w:pPr>
        <w:pStyle w:val="BodyText"/>
        <w:numPr>
          <w:ilvl w:val="1"/>
          <w:numId w:val="17"/>
        </w:numPr>
      </w:pPr>
      <w:r>
        <w:t xml:space="preserve">Confirm the #DCIs in component#9 by eliminating the square brackets, </w:t>
      </w:r>
      <w:proofErr w:type="gramStart"/>
      <w:r>
        <w:t xml:space="preserve">“ </w:t>
      </w:r>
      <w:r w:rsidRPr="007A1D1C">
        <w:rPr>
          <w:strike/>
          <w:color w:val="FF0000"/>
        </w:rPr>
        <w:t>[</w:t>
      </w:r>
      <w:proofErr w:type="gramEnd"/>
      <w:r w:rsidRPr="007A1D1C">
        <w:rPr>
          <w:strike/>
          <w:color w:val="FF0000"/>
        </w:rPr>
        <w:t>Up to]</w:t>
      </w:r>
      <w:r w:rsidRPr="007A1D1C">
        <w:rPr>
          <w:color w:val="FF0000"/>
        </w:rPr>
        <w:t xml:space="preserve"> Up to</w:t>
      </w:r>
      <w:r>
        <w:rPr>
          <w:color w:val="FF0000"/>
        </w:rPr>
        <w:t>”</w:t>
      </w:r>
    </w:p>
    <w:p w14:paraId="76678029" w14:textId="77777777" w:rsidR="00101A67" w:rsidRDefault="00101A67" w:rsidP="00101A67">
      <w:pPr>
        <w:pStyle w:val="BodyText"/>
        <w:numPr>
          <w:ilvl w:val="0"/>
          <w:numId w:val="17"/>
        </w:numPr>
      </w:pPr>
      <w:r>
        <w:lastRenderedPageBreak/>
        <w:t>49-3y</w:t>
      </w:r>
    </w:p>
    <w:p w14:paraId="7BAC9D87" w14:textId="13174BD4" w:rsidR="00101A67" w:rsidRPr="00976DC0" w:rsidRDefault="00101A67" w:rsidP="00101A67">
      <w:pPr>
        <w:pStyle w:val="BodyText"/>
        <w:numPr>
          <w:ilvl w:val="0"/>
          <w:numId w:val="17"/>
        </w:numPr>
        <w:ind w:left="720"/>
      </w:pPr>
      <w:r w:rsidRPr="00976DC0">
        <w:t xml:space="preserve">This FG is used for UE indication of increased number of unicast DCIs </w:t>
      </w:r>
      <w:r w:rsidRPr="00976DC0">
        <w:rPr>
          <w:color w:val="000000" w:themeColor="text1"/>
        </w:rPr>
        <w:t>(like FG 18-5c/5d)</w:t>
      </w:r>
      <w:r w:rsidR="00976DC0">
        <w:t xml:space="preserve"> </w:t>
      </w:r>
      <w:r w:rsidR="00976DC0">
        <w:rPr>
          <w:color w:val="000000" w:themeColor="text1"/>
        </w:rPr>
        <w:t xml:space="preserve">and following the same principle as 49-2 regarding #DCIs, </w:t>
      </w:r>
      <w:proofErr w:type="gramStart"/>
      <w:r w:rsidR="00976DC0">
        <w:rPr>
          <w:color w:val="000000" w:themeColor="text1"/>
        </w:rPr>
        <w:t>i.e.</w:t>
      </w:r>
      <w:proofErr w:type="gramEnd"/>
      <w:r w:rsidR="00976DC0">
        <w:rPr>
          <w:color w:val="000000" w:themeColor="text1"/>
        </w:rPr>
        <w:t xml:space="preserve"> limiting it to scheduling cell is not in the set. So, we suggest starting with the below as component for this FG. Also, FG 49-2b could be added as pre-requisite.</w:t>
      </w:r>
    </w:p>
    <w:p w14:paraId="28242EF8" w14:textId="77777777" w:rsidR="00101A67" w:rsidRPr="00976DC0" w:rsidRDefault="00101A67" w:rsidP="00101A67">
      <w:pPr>
        <w:numPr>
          <w:ilvl w:val="1"/>
          <w:numId w:val="17"/>
        </w:numPr>
        <w:spacing w:after="0"/>
        <w:rPr>
          <w:rFonts w:ascii="Arial" w:eastAsia="MS Mincho" w:hAnsi="Arial" w:cs="Arial"/>
          <w:color w:val="000000"/>
          <w:lang w:eastAsia="ja-JP"/>
        </w:rPr>
      </w:pPr>
      <w:bookmarkStart w:id="11" w:name="_Toc134887452"/>
      <w:r w:rsidRPr="00976DC0">
        <w:rPr>
          <w:rFonts w:ascii="Arial" w:eastAsia="MS Mincho" w:hAnsi="Arial" w:cs="Arial"/>
          <w:color w:val="000000"/>
          <w:lang w:eastAsia="ja-JP"/>
        </w:rPr>
        <w:t xml:space="preserve">If the scheduling cell is NOT in the </w:t>
      </w:r>
      <w:proofErr w:type="gramStart"/>
      <w:r w:rsidRPr="00976DC0">
        <w:rPr>
          <w:rFonts w:ascii="Arial" w:eastAsia="MS Mincho" w:hAnsi="Arial" w:cs="Arial"/>
          <w:color w:val="000000"/>
          <w:lang w:eastAsia="ja-JP"/>
        </w:rPr>
        <w:t>set;</w:t>
      </w:r>
      <w:proofErr w:type="gramEnd"/>
    </w:p>
    <w:p w14:paraId="0F2A9B5E" w14:textId="77777777" w:rsidR="00101A67" w:rsidRPr="00976DC0" w:rsidRDefault="00101A67" w:rsidP="00101A67">
      <w:pPr>
        <w:pStyle w:val="BodyText"/>
        <w:numPr>
          <w:ilvl w:val="2"/>
          <w:numId w:val="17"/>
        </w:numPr>
        <w:rPr>
          <w:rFonts w:eastAsia="Times New Roman"/>
          <w:b/>
          <w:bCs/>
          <w:lang w:eastAsia="ja-JP"/>
        </w:rPr>
      </w:pPr>
      <w:r w:rsidRPr="00976DC0">
        <w:t xml:space="preserve">Processing up to X unicast DCI scheduling for UL per set of </w:t>
      </w:r>
      <w:proofErr w:type="gramStart"/>
      <w:r w:rsidRPr="00976DC0">
        <w:t>cells</w:t>
      </w:r>
      <w:bookmarkEnd w:id="11"/>
      <w:proofErr w:type="gramEnd"/>
    </w:p>
    <w:p w14:paraId="70970C42" w14:textId="77777777" w:rsidR="00101A67" w:rsidRPr="00976DC0" w:rsidRDefault="00101A67" w:rsidP="00101A67">
      <w:pPr>
        <w:pStyle w:val="Proposal"/>
        <w:numPr>
          <w:ilvl w:val="2"/>
          <w:numId w:val="19"/>
        </w:numPr>
        <w:rPr>
          <w:rFonts w:eastAsiaTheme="minorEastAsia"/>
          <w:b w:val="0"/>
          <w:bCs w:val="0"/>
          <w:lang w:eastAsia="en-US"/>
        </w:rPr>
      </w:pPr>
      <w:bookmarkStart w:id="12" w:name="_Toc134887453"/>
      <w:r w:rsidRPr="00976DC0">
        <w:rPr>
          <w:b w:val="0"/>
          <w:bCs w:val="0"/>
        </w:rPr>
        <w:t>X is based on pair of (scheduling CC SCS, SCS of the set of cells):</w:t>
      </w:r>
      <w:bookmarkEnd w:id="12"/>
    </w:p>
    <w:p w14:paraId="6DBE3922" w14:textId="77777777" w:rsidR="00101A67" w:rsidRPr="00976DC0" w:rsidRDefault="00101A67" w:rsidP="00101A67">
      <w:pPr>
        <w:pStyle w:val="Proposal"/>
        <w:numPr>
          <w:ilvl w:val="2"/>
          <w:numId w:val="19"/>
        </w:numPr>
        <w:rPr>
          <w:b w:val="0"/>
          <w:bCs w:val="0"/>
        </w:rPr>
      </w:pPr>
      <w:bookmarkStart w:id="13" w:name="_Toc134887454"/>
      <w:r w:rsidRPr="00976DC0">
        <w:rPr>
          <w:b w:val="0"/>
          <w:bCs w:val="0"/>
        </w:rPr>
        <w:t>Candidate value(s) of X</w:t>
      </w:r>
      <w:bookmarkEnd w:id="13"/>
    </w:p>
    <w:p w14:paraId="35A2C29E" w14:textId="77777777" w:rsidR="00101A67" w:rsidRPr="00976DC0" w:rsidRDefault="00101A67" w:rsidP="00101A67">
      <w:pPr>
        <w:pStyle w:val="Proposal"/>
        <w:numPr>
          <w:ilvl w:val="3"/>
          <w:numId w:val="19"/>
        </w:numPr>
        <w:rPr>
          <w:b w:val="0"/>
          <w:bCs w:val="0"/>
        </w:rPr>
      </w:pPr>
      <w:bookmarkStart w:id="14" w:name="_Toc134887455"/>
      <w:r w:rsidRPr="00976DC0">
        <w:rPr>
          <w:b w:val="0"/>
          <w:bCs w:val="0"/>
        </w:rPr>
        <w:t>X</w:t>
      </w:r>
      <w:proofErr w:type="gramStart"/>
      <w:r w:rsidRPr="00976DC0">
        <w:rPr>
          <w:b w:val="0"/>
          <w:bCs w:val="0"/>
        </w:rPr>
        <w:t>={</w:t>
      </w:r>
      <w:proofErr w:type="gramEnd"/>
      <w:r w:rsidRPr="00976DC0">
        <w:rPr>
          <w:b w:val="0"/>
          <w:bCs w:val="0"/>
        </w:rPr>
        <w:t>2} for (15kHz,30kHz), (30kHz,60kHz), (60kHz,120 kHz)</w:t>
      </w:r>
      <w:bookmarkEnd w:id="14"/>
    </w:p>
    <w:p w14:paraId="4010E537" w14:textId="77777777" w:rsidR="00101A67" w:rsidRPr="00976DC0" w:rsidRDefault="00101A67" w:rsidP="00101A67">
      <w:pPr>
        <w:pStyle w:val="Proposal"/>
        <w:numPr>
          <w:ilvl w:val="3"/>
          <w:numId w:val="19"/>
        </w:numPr>
        <w:rPr>
          <w:b w:val="0"/>
          <w:bCs w:val="0"/>
        </w:rPr>
      </w:pPr>
      <w:bookmarkStart w:id="15" w:name="_Toc134887456"/>
      <w:r w:rsidRPr="00976DC0">
        <w:rPr>
          <w:b w:val="0"/>
          <w:bCs w:val="0"/>
        </w:rPr>
        <w:t>X</w:t>
      </w:r>
      <w:proofErr w:type="gramStart"/>
      <w:r w:rsidRPr="00976DC0">
        <w:rPr>
          <w:b w:val="0"/>
          <w:bCs w:val="0"/>
        </w:rPr>
        <w:t>={</w:t>
      </w:r>
      <w:proofErr w:type="gramEnd"/>
      <w:r w:rsidRPr="00976DC0">
        <w:rPr>
          <w:b w:val="0"/>
          <w:bCs w:val="0"/>
        </w:rPr>
        <w:t>2,4} for (15 kHz,120 kHz), (15 kHz,60 kHz), (30kHz,120kHz)</w:t>
      </w:r>
      <w:bookmarkEnd w:id="15"/>
      <w:r w:rsidRPr="00976DC0">
        <w:rPr>
          <w:b w:val="0"/>
          <w:bCs w:val="0"/>
        </w:rPr>
        <w:t xml:space="preserve"> </w:t>
      </w:r>
    </w:p>
    <w:p w14:paraId="63364333" w14:textId="77777777" w:rsidR="00101A67" w:rsidRPr="00976DC0" w:rsidRDefault="00101A67" w:rsidP="00101A67">
      <w:pPr>
        <w:pStyle w:val="Proposal"/>
        <w:numPr>
          <w:ilvl w:val="2"/>
          <w:numId w:val="19"/>
        </w:numPr>
        <w:rPr>
          <w:b w:val="0"/>
          <w:bCs w:val="0"/>
          <w:color w:val="000000" w:themeColor="text1"/>
        </w:rPr>
      </w:pPr>
      <w:bookmarkStart w:id="16" w:name="_Toc134887457"/>
      <w:r w:rsidRPr="00976DC0">
        <w:rPr>
          <w:b w:val="0"/>
          <w:bCs w:val="0"/>
        </w:rPr>
        <w:t>X applies per slot of scheduling CC</w:t>
      </w:r>
      <w:bookmarkEnd w:id="16"/>
      <w:r w:rsidRPr="00976DC0">
        <w:rPr>
          <w:b w:val="0"/>
          <w:bCs w:val="0"/>
          <w:color w:val="000000" w:themeColor="text1"/>
        </w:rPr>
        <w:t xml:space="preserve"> </w:t>
      </w:r>
    </w:p>
    <w:p w14:paraId="2EE0DD4F" w14:textId="0C3A8E99" w:rsidR="00101A67" w:rsidRDefault="00101A67" w:rsidP="00101A67">
      <w:pPr>
        <w:pStyle w:val="BodyText"/>
        <w:numPr>
          <w:ilvl w:val="0"/>
          <w:numId w:val="17"/>
        </w:numPr>
      </w:pPr>
      <w:r>
        <w:t>FG 49-5a</w:t>
      </w:r>
    </w:p>
    <w:p w14:paraId="56AC39D0" w14:textId="77777777" w:rsidR="00584F8A" w:rsidRDefault="00976DC0" w:rsidP="00584F8A">
      <w:pPr>
        <w:pStyle w:val="BodyText"/>
        <w:numPr>
          <w:ilvl w:val="1"/>
          <w:numId w:val="17"/>
        </w:numPr>
      </w:pPr>
      <w:r>
        <w:t xml:space="preserve">We are fine to confirm the components. </w:t>
      </w:r>
    </w:p>
    <w:p w14:paraId="0396E310" w14:textId="23FDB241" w:rsidR="00101A67" w:rsidRDefault="00976DC0" w:rsidP="00584F8A">
      <w:pPr>
        <w:pStyle w:val="BodyText"/>
        <w:numPr>
          <w:ilvl w:val="1"/>
          <w:numId w:val="17"/>
        </w:numPr>
      </w:pPr>
      <w:r>
        <w:t xml:space="preserve">Regarding the note column, since this seems to imply UE behavior, it should not be captured in UE features and should be discussed for specification.  </w:t>
      </w:r>
    </w:p>
    <w:p w14:paraId="31F05EB7" w14:textId="7EDCFC8D" w:rsidR="00976DC0" w:rsidRDefault="00976DC0" w:rsidP="00976DC0">
      <w:pPr>
        <w:pStyle w:val="BodyText"/>
        <w:numPr>
          <w:ilvl w:val="0"/>
          <w:numId w:val="17"/>
        </w:numPr>
      </w:pPr>
      <w:r>
        <w:t>FG 49-5b</w:t>
      </w:r>
    </w:p>
    <w:p w14:paraId="6D6E4FFF" w14:textId="323DDB43" w:rsidR="00976DC0" w:rsidRDefault="00976DC0" w:rsidP="00976DC0">
      <w:pPr>
        <w:pStyle w:val="BodyText"/>
        <w:numPr>
          <w:ilvl w:val="1"/>
          <w:numId w:val="17"/>
        </w:numPr>
      </w:pPr>
      <w:r>
        <w:t>We are fine to confirm the components and notes.</w:t>
      </w:r>
    </w:p>
    <w:p w14:paraId="02B1359E" w14:textId="0B868BE2" w:rsidR="006812D6" w:rsidRPr="00136A93" w:rsidRDefault="006812D6" w:rsidP="006812D6">
      <w:pPr>
        <w:pStyle w:val="BodyText"/>
      </w:pPr>
    </w:p>
    <w:p w14:paraId="6362A6F8" w14:textId="77777777" w:rsidR="006812D6" w:rsidRPr="00CE0424" w:rsidRDefault="006812D6" w:rsidP="006812D6">
      <w:pPr>
        <w:pStyle w:val="Heading1"/>
      </w:pPr>
      <w:r w:rsidRPr="00CE0424">
        <w:t>References</w:t>
      </w:r>
    </w:p>
    <w:bookmarkStart w:id="17" w:name="_Ref101469027"/>
    <w:bookmarkStart w:id="18" w:name="_Ref115449293"/>
    <w:p w14:paraId="5AAC5741" w14:textId="77777777" w:rsidR="006812D6" w:rsidRPr="005B0D9B" w:rsidRDefault="006812D6" w:rsidP="006812D6">
      <w:pPr>
        <w:pStyle w:val="Reference"/>
      </w:pPr>
      <w:r w:rsidRPr="00F1754E">
        <w:rPr>
          <w:color w:val="4472C4" w:themeColor="accent1"/>
          <w:u w:val="single"/>
        </w:rPr>
        <w:fldChar w:fldCharType="begin"/>
      </w:r>
      <w:r w:rsidRPr="00F1754E">
        <w:rPr>
          <w:color w:val="4472C4" w:themeColor="accent1"/>
          <w:u w:val="single"/>
        </w:rPr>
        <w:instrText xml:space="preserve"> HYPERLINK "https://www.3gpp.org/ftp/tsg_ran/WG1_RL1/TSGR1_115/Docs/R1-2312572.zip" </w:instrText>
      </w:r>
      <w:r w:rsidRPr="00F1754E">
        <w:rPr>
          <w:color w:val="4472C4" w:themeColor="accent1"/>
          <w:u w:val="single"/>
        </w:rPr>
      </w:r>
      <w:r w:rsidRPr="00F1754E">
        <w:rPr>
          <w:color w:val="4472C4" w:themeColor="accent1"/>
          <w:u w:val="single"/>
        </w:rPr>
        <w:fldChar w:fldCharType="separate"/>
      </w:r>
      <w:r w:rsidRPr="00F1754E">
        <w:rPr>
          <w:color w:val="4472C4" w:themeColor="accent1"/>
          <w:u w:val="single"/>
        </w:rPr>
        <w:t>R1-2</w:t>
      </w:r>
      <w:r w:rsidRPr="00F1754E">
        <w:rPr>
          <w:color w:val="4472C4" w:themeColor="accent1"/>
          <w:u w:val="single"/>
        </w:rPr>
        <w:t>3</w:t>
      </w:r>
      <w:r w:rsidRPr="00F1754E">
        <w:rPr>
          <w:color w:val="4472C4" w:themeColor="accent1"/>
          <w:u w:val="single"/>
        </w:rPr>
        <w:t>12572</w:t>
      </w:r>
      <w:r w:rsidRPr="00F1754E">
        <w:rPr>
          <w:color w:val="4472C4" w:themeColor="accent1"/>
          <w:u w:val="single"/>
        </w:rPr>
        <w:fldChar w:fldCharType="end"/>
      </w:r>
      <w:r w:rsidRPr="005B0D9B">
        <w:tab/>
        <w:t>Updated RAN1 UE features list for Rel-18 NR after RAN1#115</w:t>
      </w:r>
      <w:r w:rsidRPr="005B0D9B">
        <w:tab/>
        <w:t>Moderators (AT&amp;T, NTT DOCOMO, INC.)</w:t>
      </w:r>
      <w:r>
        <w:t>, RAN1#115, Chicago, Nov 2023.</w:t>
      </w:r>
    </w:p>
    <w:p w14:paraId="177E7122" w14:textId="77777777" w:rsidR="00AF5606" w:rsidRDefault="00514A39" w:rsidP="00AF5606">
      <w:pPr>
        <w:pStyle w:val="Reference"/>
      </w:pPr>
      <w:hyperlink r:id="rId7" w:history="1">
        <w:r w:rsidR="006812D6" w:rsidRPr="00F1754E">
          <w:rPr>
            <w:color w:val="4472C4" w:themeColor="accent1"/>
            <w:u w:val="single"/>
          </w:rPr>
          <w:t>R1-2312574</w:t>
        </w:r>
      </w:hyperlink>
      <w:r w:rsidR="006812D6" w:rsidRPr="00F1754E">
        <w:rPr>
          <w:color w:val="4472C4" w:themeColor="accent1"/>
        </w:rPr>
        <w:tab/>
      </w:r>
      <w:r w:rsidR="006812D6" w:rsidRPr="00806418">
        <w:t>LS on Rel-18 RAN1 UE features list for NR after RAN1#115</w:t>
      </w:r>
      <w:r w:rsidR="006812D6" w:rsidRPr="00806418">
        <w:tab/>
        <w:t>Moderators (AT&amp;T, NTT DOCOMO, INC.)</w:t>
      </w:r>
      <w:r w:rsidR="006812D6">
        <w:t>, RAN1#115, Chicago, Nov 2023.</w:t>
      </w:r>
    </w:p>
    <w:p w14:paraId="4602DE4F" w14:textId="77777777" w:rsidR="00303775" w:rsidRDefault="00514A39" w:rsidP="001A1D84">
      <w:pPr>
        <w:pStyle w:val="Reference"/>
      </w:pPr>
      <w:hyperlink r:id="rId8" w:history="1">
        <w:r w:rsidR="00AF5606" w:rsidRPr="00AF5606">
          <w:rPr>
            <w:color w:val="4472C4" w:themeColor="accent1"/>
            <w:u w:val="single"/>
          </w:rPr>
          <w:t>R1-2312589</w:t>
        </w:r>
      </w:hyperlink>
      <w:r w:rsidR="00AF5606">
        <w:tab/>
      </w:r>
      <w:r w:rsidR="00AF5606" w:rsidRPr="00AF5606">
        <w:t>Summary on UE features for MC enhancements</w:t>
      </w:r>
      <w:r w:rsidR="00AF5606" w:rsidRPr="00AF5606">
        <w:tab/>
        <w:t>Moderator (NTT DOCOMO)</w:t>
      </w:r>
      <w:r w:rsidR="00AF5606">
        <w:t>, RAN1#115, Chicago, Nov 2023.</w:t>
      </w:r>
      <w:bookmarkEnd w:id="17"/>
      <w:bookmarkEnd w:id="18"/>
    </w:p>
    <w:p w14:paraId="651B86D3" w14:textId="50191678" w:rsidR="001A1D84" w:rsidRPr="001A1D84" w:rsidRDefault="00514A39" w:rsidP="001A1D84">
      <w:pPr>
        <w:pStyle w:val="Reference"/>
      </w:pPr>
      <w:hyperlink r:id="rId9" w:history="1">
        <w:r w:rsidR="001A1D84" w:rsidRPr="001A1D84">
          <w:rPr>
            <w:color w:val="4472C4" w:themeColor="accent1"/>
            <w:u w:val="single"/>
          </w:rPr>
          <w:t>R1-2312581</w:t>
        </w:r>
      </w:hyperlink>
      <w:r w:rsidR="00303775" w:rsidRPr="00F1754E">
        <w:rPr>
          <w:color w:val="4472C4" w:themeColor="accent1"/>
        </w:rPr>
        <w:tab/>
      </w:r>
      <w:r w:rsidR="001A1D84" w:rsidRPr="001A1D84">
        <w:t>Session Notes for 8.16.12</w:t>
      </w:r>
      <w:r w:rsidR="001A1D84" w:rsidRPr="001A1D84">
        <w:tab/>
        <w:t>Ad-Hoc Chair (NTT DOCOMO)</w:t>
      </w:r>
      <w:r w:rsidR="001A1D84">
        <w:t>, RAN1#115, Chicago, Nov 2023.</w:t>
      </w:r>
    </w:p>
    <w:sectPr w:rsidR="001A1D84" w:rsidRPr="001A1D84" w:rsidSect="00976DC0">
      <w:headerReference w:type="even" r:id="rId10"/>
      <w:footerReference w:type="default" r:id="rId11"/>
      <w:footnotePr>
        <w:numRestart w:val="eachSect"/>
      </w:footnotePr>
      <w:pgSz w:w="11906" w:h="16838" w:code="9"/>
      <w:pgMar w:top="720" w:right="720" w:bottom="720" w:left="720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80458" w14:textId="77777777" w:rsidR="00976DC0" w:rsidRDefault="00976DC0" w:rsidP="00976DC0">
      <w:pPr>
        <w:spacing w:after="0" w:line="240" w:lineRule="auto"/>
      </w:pPr>
      <w:r>
        <w:separator/>
      </w:r>
    </w:p>
  </w:endnote>
  <w:endnote w:type="continuationSeparator" w:id="0">
    <w:p w14:paraId="1DD481D8" w14:textId="77777777" w:rsidR="00976DC0" w:rsidRDefault="00976DC0" w:rsidP="00976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charset w:val="00"/>
    <w:family w:val="swiss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1F6B5" w14:textId="77777777" w:rsidR="00976DC0" w:rsidRDefault="00976DC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17022" w14:textId="77777777" w:rsidR="00976DC0" w:rsidRDefault="00976DC0" w:rsidP="00976DC0">
      <w:pPr>
        <w:spacing w:after="0" w:line="240" w:lineRule="auto"/>
      </w:pPr>
      <w:r>
        <w:separator/>
      </w:r>
    </w:p>
  </w:footnote>
  <w:footnote w:type="continuationSeparator" w:id="0">
    <w:p w14:paraId="0F344A10" w14:textId="77777777" w:rsidR="00976DC0" w:rsidRDefault="00976DC0" w:rsidP="00976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CC66C" w14:textId="77777777" w:rsidR="00976DC0" w:rsidRDefault="00976DC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8094B3D"/>
    <w:multiLevelType w:val="hybridMultilevel"/>
    <w:tmpl w:val="354061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E668F1"/>
    <w:multiLevelType w:val="hybridMultilevel"/>
    <w:tmpl w:val="70F4C75A"/>
    <w:lvl w:ilvl="0" w:tplc="3FE221A8">
      <w:start w:val="2"/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563CD3"/>
    <w:multiLevelType w:val="hybridMultilevel"/>
    <w:tmpl w:val="329872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0D467502"/>
    <w:lvl w:ilvl="0" w:tplc="68364D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02651F"/>
    <w:multiLevelType w:val="hybridMultilevel"/>
    <w:tmpl w:val="E8605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8E4719"/>
    <w:multiLevelType w:val="hybridMultilevel"/>
    <w:tmpl w:val="9C3C5B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57085"/>
    <w:multiLevelType w:val="hybridMultilevel"/>
    <w:tmpl w:val="F72ABA9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1246890">
    <w:abstractNumId w:val="13"/>
  </w:num>
  <w:num w:numId="2" w16cid:durableId="517937204">
    <w:abstractNumId w:val="9"/>
  </w:num>
  <w:num w:numId="3" w16cid:durableId="669334131">
    <w:abstractNumId w:val="0"/>
  </w:num>
  <w:num w:numId="4" w16cid:durableId="459232339">
    <w:abstractNumId w:val="14"/>
  </w:num>
  <w:num w:numId="5" w16cid:durableId="754135262">
    <w:abstractNumId w:val="15"/>
  </w:num>
  <w:num w:numId="6" w16cid:durableId="1751997103">
    <w:abstractNumId w:val="17"/>
  </w:num>
  <w:num w:numId="7" w16cid:durableId="694309929">
    <w:abstractNumId w:val="4"/>
  </w:num>
  <w:num w:numId="8" w16cid:durableId="1905025674">
    <w:abstractNumId w:val="6"/>
  </w:num>
  <w:num w:numId="9" w16cid:durableId="389037065">
    <w:abstractNumId w:val="1"/>
  </w:num>
  <w:num w:numId="10" w16cid:durableId="1730806129">
    <w:abstractNumId w:val="20"/>
  </w:num>
  <w:num w:numId="11" w16cid:durableId="1987078988">
    <w:abstractNumId w:val="8"/>
  </w:num>
  <w:num w:numId="12" w16cid:durableId="379791122">
    <w:abstractNumId w:val="18"/>
  </w:num>
  <w:num w:numId="13" w16cid:durableId="692651075">
    <w:abstractNumId w:val="7"/>
  </w:num>
  <w:num w:numId="14" w16cid:durableId="486670933">
    <w:abstractNumId w:val="21"/>
  </w:num>
  <w:num w:numId="15" w16cid:durableId="896937243">
    <w:abstractNumId w:val="19"/>
  </w:num>
  <w:num w:numId="16" w16cid:durableId="349189316">
    <w:abstractNumId w:val="12"/>
  </w:num>
  <w:num w:numId="17" w16cid:durableId="538207182">
    <w:abstractNumId w:val="10"/>
  </w:num>
  <w:num w:numId="18" w16cid:durableId="346518136">
    <w:abstractNumId w:val="2"/>
  </w:num>
  <w:num w:numId="19" w16cid:durableId="703290648">
    <w:abstractNumId w:val="11"/>
  </w:num>
  <w:num w:numId="20" w16cid:durableId="622615775">
    <w:abstractNumId w:val="5"/>
  </w:num>
  <w:num w:numId="21" w16cid:durableId="413092856">
    <w:abstractNumId w:val="3"/>
  </w:num>
  <w:num w:numId="22" w16cid:durableId="1045300314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D6"/>
    <w:rsid w:val="00101A67"/>
    <w:rsid w:val="001A1D84"/>
    <w:rsid w:val="00303775"/>
    <w:rsid w:val="00514A39"/>
    <w:rsid w:val="00584F8A"/>
    <w:rsid w:val="006812D6"/>
    <w:rsid w:val="007A1D1C"/>
    <w:rsid w:val="009567F0"/>
    <w:rsid w:val="00976DC0"/>
    <w:rsid w:val="009A52F4"/>
    <w:rsid w:val="00A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E7C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2D6"/>
  </w:style>
  <w:style w:type="paragraph" w:styleId="Heading1">
    <w:name w:val="heading 1"/>
    <w:next w:val="Normal"/>
    <w:link w:val="Heading1Char"/>
    <w:qFormat/>
    <w:rsid w:val="00681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81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812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812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812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812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812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812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812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12D6"/>
    <w:rPr>
      <w:rFonts w:ascii="Arial" w:eastAsia="SimSu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6812D6"/>
    <w:rPr>
      <w:rFonts w:ascii="Arial" w:eastAsia="SimSu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6812D6"/>
    <w:rPr>
      <w:rFonts w:ascii="Arial" w:eastAsia="SimSu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6812D6"/>
    <w:rPr>
      <w:rFonts w:ascii="Arial" w:eastAsia="SimSun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6812D6"/>
    <w:rPr>
      <w:rFonts w:ascii="Arial" w:eastAsia="SimSu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6812D6"/>
    <w:rPr>
      <w:rFonts w:ascii="Arial" w:eastAsia="SimSu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6812D6"/>
    <w:rPr>
      <w:rFonts w:ascii="Arial" w:eastAsia="SimSu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6812D6"/>
    <w:rPr>
      <w:rFonts w:ascii="Arial" w:eastAsia="SimSu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6812D6"/>
    <w:rPr>
      <w:rFonts w:ascii="Arial" w:eastAsia="SimSun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6812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812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6812D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812D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6812D6"/>
    <w:pPr>
      <w:ind w:left="1701" w:hanging="1701"/>
    </w:pPr>
  </w:style>
  <w:style w:type="paragraph" w:styleId="TOC4">
    <w:name w:val="toc 4"/>
    <w:basedOn w:val="TOC3"/>
    <w:uiPriority w:val="39"/>
    <w:rsid w:val="006812D6"/>
    <w:pPr>
      <w:ind w:left="1418" w:hanging="1418"/>
    </w:pPr>
  </w:style>
  <w:style w:type="paragraph" w:styleId="TOC3">
    <w:name w:val="toc 3"/>
    <w:basedOn w:val="TOC2"/>
    <w:uiPriority w:val="39"/>
    <w:rsid w:val="006812D6"/>
    <w:pPr>
      <w:ind w:left="1134" w:hanging="1134"/>
    </w:pPr>
  </w:style>
  <w:style w:type="paragraph" w:styleId="TOC2">
    <w:name w:val="toc 2"/>
    <w:basedOn w:val="TOC1"/>
    <w:uiPriority w:val="39"/>
    <w:rsid w:val="006812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812D6"/>
    <w:pPr>
      <w:ind w:left="284"/>
    </w:pPr>
  </w:style>
  <w:style w:type="paragraph" w:styleId="Index1">
    <w:name w:val="index 1"/>
    <w:basedOn w:val="Normal"/>
    <w:rsid w:val="006812D6"/>
    <w:pPr>
      <w:keepLines/>
      <w:spacing w:after="0"/>
    </w:pPr>
  </w:style>
  <w:style w:type="paragraph" w:styleId="DocumentMap">
    <w:name w:val="Document Map"/>
    <w:basedOn w:val="Normal"/>
    <w:link w:val="DocumentMapChar"/>
    <w:rsid w:val="006812D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812D6"/>
    <w:rPr>
      <w:rFonts w:ascii="Tahoma" w:hAnsi="Tahoma" w:cs="Tahoma"/>
      <w:shd w:val="clear" w:color="auto" w:fill="000080"/>
    </w:rPr>
  </w:style>
  <w:style w:type="paragraph" w:styleId="ListNumber2">
    <w:name w:val="List Number 2"/>
    <w:basedOn w:val="ListNumber"/>
    <w:rsid w:val="006812D6"/>
    <w:pPr>
      <w:numPr>
        <w:numId w:val="12"/>
      </w:numPr>
    </w:pPr>
  </w:style>
  <w:style w:type="paragraph" w:styleId="ListNumber">
    <w:name w:val="List Number"/>
    <w:basedOn w:val="List"/>
    <w:rsid w:val="006812D6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6812D6"/>
    <w:pPr>
      <w:ind w:left="568" w:hanging="284"/>
    </w:pPr>
  </w:style>
  <w:style w:type="paragraph" w:styleId="Header">
    <w:name w:val="header"/>
    <w:link w:val="HeaderChar"/>
    <w:rsid w:val="006812D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6812D6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6812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812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12D6"/>
    <w:rPr>
      <w:sz w:val="16"/>
    </w:rPr>
  </w:style>
  <w:style w:type="paragraph" w:customStyle="1" w:styleId="3GPPHeader">
    <w:name w:val="3GPP_Header"/>
    <w:basedOn w:val="BodyText"/>
    <w:rsid w:val="006812D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6812D6"/>
    <w:pPr>
      <w:ind w:left="1418" w:hanging="1418"/>
    </w:pPr>
  </w:style>
  <w:style w:type="paragraph" w:styleId="TOC6">
    <w:name w:val="toc 6"/>
    <w:basedOn w:val="TOC5"/>
    <w:next w:val="Normal"/>
    <w:uiPriority w:val="39"/>
    <w:rsid w:val="006812D6"/>
    <w:pPr>
      <w:ind w:left="1985" w:hanging="1985"/>
    </w:pPr>
  </w:style>
  <w:style w:type="paragraph" w:styleId="TOC7">
    <w:name w:val="toc 7"/>
    <w:basedOn w:val="TOC6"/>
    <w:next w:val="Normal"/>
    <w:uiPriority w:val="39"/>
    <w:rsid w:val="006812D6"/>
    <w:pPr>
      <w:ind w:left="2268" w:hanging="2268"/>
    </w:pPr>
  </w:style>
  <w:style w:type="paragraph" w:styleId="ListBullet2">
    <w:name w:val="List Bullet 2"/>
    <w:basedOn w:val="ListBullet"/>
    <w:rsid w:val="006812D6"/>
    <w:pPr>
      <w:numPr>
        <w:numId w:val="7"/>
      </w:numPr>
    </w:pPr>
  </w:style>
  <w:style w:type="paragraph" w:styleId="ListBullet">
    <w:name w:val="List Bullet"/>
    <w:basedOn w:val="List"/>
    <w:rsid w:val="006812D6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6812D6"/>
    <w:pPr>
      <w:numPr>
        <w:numId w:val="8"/>
      </w:numPr>
    </w:pPr>
  </w:style>
  <w:style w:type="paragraph" w:customStyle="1" w:styleId="EQ">
    <w:name w:val="EQ"/>
    <w:basedOn w:val="Normal"/>
    <w:next w:val="Normal"/>
    <w:rsid w:val="006812D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6812D6"/>
    <w:pPr>
      <w:ind w:left="851"/>
    </w:pPr>
    <w:rPr>
      <w:lang w:eastAsia="ja-JP"/>
    </w:rPr>
  </w:style>
  <w:style w:type="paragraph" w:styleId="List3">
    <w:name w:val="List 3"/>
    <w:basedOn w:val="List2"/>
    <w:rsid w:val="006812D6"/>
    <w:pPr>
      <w:ind w:left="1135"/>
    </w:pPr>
  </w:style>
  <w:style w:type="paragraph" w:styleId="List4">
    <w:name w:val="List 4"/>
    <w:basedOn w:val="List3"/>
    <w:rsid w:val="006812D6"/>
    <w:pPr>
      <w:ind w:left="1418"/>
    </w:pPr>
  </w:style>
  <w:style w:type="paragraph" w:styleId="List5">
    <w:name w:val="List 5"/>
    <w:basedOn w:val="List4"/>
    <w:rsid w:val="006812D6"/>
    <w:pPr>
      <w:ind w:left="1702"/>
    </w:pPr>
  </w:style>
  <w:style w:type="paragraph" w:customStyle="1" w:styleId="EditorsNote">
    <w:name w:val="Editor's Note"/>
    <w:basedOn w:val="NO"/>
    <w:link w:val="EditorsNoteChar"/>
    <w:rsid w:val="006812D6"/>
    <w:rPr>
      <w:color w:val="FF0000"/>
      <w:lang w:val="x-none" w:eastAsia="x-none"/>
    </w:rPr>
  </w:style>
  <w:style w:type="paragraph" w:styleId="ListBullet4">
    <w:name w:val="List Bullet 4"/>
    <w:basedOn w:val="ListBullet3"/>
    <w:rsid w:val="006812D6"/>
    <w:pPr>
      <w:numPr>
        <w:numId w:val="9"/>
      </w:numPr>
    </w:pPr>
  </w:style>
  <w:style w:type="paragraph" w:styleId="ListBullet5">
    <w:name w:val="List Bullet 5"/>
    <w:basedOn w:val="ListBullet4"/>
    <w:rsid w:val="006812D6"/>
    <w:pPr>
      <w:numPr>
        <w:numId w:val="10"/>
      </w:numPr>
    </w:pPr>
  </w:style>
  <w:style w:type="paragraph" w:styleId="Footer">
    <w:name w:val="footer"/>
    <w:basedOn w:val="Header"/>
    <w:link w:val="FooterChar"/>
    <w:rsid w:val="006812D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812D6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link w:val="ReferenceChar"/>
    <w:qFormat/>
    <w:rsid w:val="006812D6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681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812D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6812D6"/>
  </w:style>
  <w:style w:type="paragraph" w:styleId="BodyText">
    <w:name w:val="Body Text"/>
    <w:basedOn w:val="Normal"/>
    <w:link w:val="BodyTextChar"/>
    <w:qFormat/>
    <w:rsid w:val="006812D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6812D6"/>
    <w:rPr>
      <w:rFonts w:ascii="Arial" w:hAnsi="Arial"/>
      <w:lang w:eastAsia="zh-CN"/>
    </w:rPr>
  </w:style>
  <w:style w:type="character" w:styleId="Hyperlink">
    <w:name w:val="Hyperlink"/>
    <w:uiPriority w:val="99"/>
    <w:rsid w:val="006812D6"/>
    <w:rPr>
      <w:color w:val="0000FF"/>
      <w:u w:val="single"/>
    </w:rPr>
  </w:style>
  <w:style w:type="character" w:styleId="FollowedHyperlink">
    <w:name w:val="FollowedHyperlink"/>
    <w:unhideWhenUsed/>
    <w:rsid w:val="006812D6"/>
    <w:rPr>
      <w:color w:val="800080"/>
      <w:u w:val="single"/>
    </w:rPr>
  </w:style>
  <w:style w:type="character" w:styleId="CommentReference">
    <w:name w:val="annotation reference"/>
    <w:uiPriority w:val="99"/>
    <w:qFormat/>
    <w:rsid w:val="006812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812D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812D6"/>
  </w:style>
  <w:style w:type="paragraph" w:styleId="CommentSubject">
    <w:name w:val="annotation subject"/>
    <w:basedOn w:val="CommentText"/>
    <w:next w:val="CommentText"/>
    <w:link w:val="CommentSubjectChar"/>
    <w:rsid w:val="006812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812D6"/>
    <w:rPr>
      <w:b/>
      <w:bCs/>
    </w:rPr>
  </w:style>
  <w:style w:type="paragraph" w:customStyle="1" w:styleId="B1">
    <w:name w:val="B1"/>
    <w:basedOn w:val="List"/>
    <w:link w:val="B1Char1"/>
    <w:rsid w:val="006812D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6812D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6812D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6812D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812D6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6812D6"/>
    <w:rPr>
      <w:rFonts w:ascii="Times New Roman" w:hAnsi="Times New Roman"/>
    </w:rPr>
  </w:style>
  <w:style w:type="paragraph" w:customStyle="1" w:styleId="EX">
    <w:name w:val="EX"/>
    <w:basedOn w:val="Normal"/>
    <w:rsid w:val="006812D6"/>
    <w:pPr>
      <w:keepLines/>
      <w:ind w:left="1702" w:hanging="1418"/>
    </w:pPr>
  </w:style>
  <w:style w:type="paragraph" w:customStyle="1" w:styleId="EW">
    <w:name w:val="EW"/>
    <w:basedOn w:val="EX"/>
    <w:rsid w:val="006812D6"/>
    <w:pPr>
      <w:spacing w:after="0"/>
    </w:pPr>
  </w:style>
  <w:style w:type="paragraph" w:customStyle="1" w:styleId="TAL">
    <w:name w:val="TAL"/>
    <w:basedOn w:val="Normal"/>
    <w:link w:val="TALCar"/>
    <w:qFormat/>
    <w:rsid w:val="006812D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6812D6"/>
    <w:pPr>
      <w:jc w:val="center"/>
    </w:pPr>
  </w:style>
  <w:style w:type="paragraph" w:customStyle="1" w:styleId="TAH">
    <w:name w:val="TAH"/>
    <w:basedOn w:val="TAC"/>
    <w:link w:val="TAHCar"/>
    <w:qFormat/>
    <w:rsid w:val="006812D6"/>
    <w:rPr>
      <w:b/>
    </w:rPr>
  </w:style>
  <w:style w:type="paragraph" w:customStyle="1" w:styleId="TAN">
    <w:name w:val="TAN"/>
    <w:basedOn w:val="TAL"/>
    <w:qFormat/>
    <w:rsid w:val="006812D6"/>
    <w:pPr>
      <w:ind w:left="851" w:hanging="851"/>
    </w:pPr>
  </w:style>
  <w:style w:type="paragraph" w:customStyle="1" w:styleId="TAR">
    <w:name w:val="TAR"/>
    <w:basedOn w:val="TAL"/>
    <w:rsid w:val="006812D6"/>
    <w:pPr>
      <w:jc w:val="right"/>
    </w:pPr>
  </w:style>
  <w:style w:type="paragraph" w:customStyle="1" w:styleId="TH">
    <w:name w:val="TH"/>
    <w:basedOn w:val="Normal"/>
    <w:link w:val="THChar"/>
    <w:rsid w:val="006812D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6812D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812D6"/>
    <w:pPr>
      <w:outlineLvl w:val="9"/>
    </w:pPr>
  </w:style>
  <w:style w:type="paragraph" w:customStyle="1" w:styleId="ZA">
    <w:name w:val="ZA"/>
    <w:rsid w:val="006812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6812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6812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6812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6812D6"/>
  </w:style>
  <w:style w:type="paragraph" w:customStyle="1" w:styleId="ZH">
    <w:name w:val="ZH"/>
    <w:rsid w:val="006812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6812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6812D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812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6812D6"/>
    <w:pPr>
      <w:framePr w:wrap="notBeside" w:y="16161"/>
    </w:pPr>
  </w:style>
  <w:style w:type="paragraph" w:customStyle="1" w:styleId="FP">
    <w:name w:val="FP"/>
    <w:basedOn w:val="Normal"/>
    <w:rsid w:val="006812D6"/>
    <w:pPr>
      <w:spacing w:after="0"/>
    </w:pPr>
  </w:style>
  <w:style w:type="paragraph" w:customStyle="1" w:styleId="Observation">
    <w:name w:val="Observation"/>
    <w:basedOn w:val="Proposal"/>
    <w:qFormat/>
    <w:rsid w:val="006812D6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812D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6812D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6812D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812D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6812D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6812D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6812D6"/>
    <w:pPr>
      <w:ind w:left="1985"/>
    </w:pPr>
  </w:style>
  <w:style w:type="character" w:customStyle="1" w:styleId="B6Char">
    <w:name w:val="B6 Char"/>
    <w:link w:val="B6"/>
    <w:rsid w:val="006812D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6812D6"/>
    <w:pPr>
      <w:ind w:left="2269"/>
    </w:pPr>
  </w:style>
  <w:style w:type="character" w:customStyle="1" w:styleId="B7Char">
    <w:name w:val="B7 Char"/>
    <w:basedOn w:val="B6Char"/>
    <w:link w:val="B7"/>
    <w:rsid w:val="006812D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6812D6"/>
    <w:pPr>
      <w:ind w:left="2552"/>
    </w:pPr>
  </w:style>
  <w:style w:type="paragraph" w:customStyle="1" w:styleId="CRCoverPage">
    <w:name w:val="CR Cover Page"/>
    <w:link w:val="CRCoverPageZchn"/>
    <w:rsid w:val="006812D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6812D6"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6812D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6812D6"/>
    <w:rPr>
      <w:rFonts w:ascii="Arial" w:eastAsia="MS Mincho" w:hAnsi="Arial"/>
      <w:szCs w:val="24"/>
      <w:lang w:val="x-none" w:eastAsia="x-none"/>
    </w:rPr>
  </w:style>
  <w:style w:type="paragraph" w:customStyle="1" w:styleId="NO">
    <w:name w:val="NO"/>
    <w:basedOn w:val="Normal"/>
    <w:link w:val="NOChar"/>
    <w:rsid w:val="006812D6"/>
    <w:pPr>
      <w:keepLines/>
      <w:ind w:left="1135" w:hanging="851"/>
    </w:pPr>
  </w:style>
  <w:style w:type="character" w:customStyle="1" w:styleId="NOChar">
    <w:name w:val="NO Char"/>
    <w:link w:val="NO"/>
    <w:qFormat/>
    <w:rsid w:val="006812D6"/>
  </w:style>
  <w:style w:type="character" w:customStyle="1" w:styleId="EditorsNoteChar">
    <w:name w:val="Editor's Note Char"/>
    <w:link w:val="EditorsNote"/>
    <w:rsid w:val="006812D6"/>
    <w:rPr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6812D6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6812D6"/>
    <w:rPr>
      <w:i/>
      <w:iCs/>
    </w:rPr>
  </w:style>
  <w:style w:type="paragraph" w:customStyle="1" w:styleId="FigureTitle">
    <w:name w:val="Figure_Title"/>
    <w:basedOn w:val="Normal"/>
    <w:next w:val="Normal"/>
    <w:rsid w:val="006812D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6812D6"/>
    <w:rPr>
      <w:i/>
      <w:color w:val="0000FF"/>
    </w:rPr>
  </w:style>
  <w:style w:type="paragraph" w:customStyle="1" w:styleId="H6">
    <w:name w:val="H6"/>
    <w:basedOn w:val="Heading5"/>
    <w:next w:val="Normal"/>
    <w:rsid w:val="006812D6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6812D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6812D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6812D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6812D6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6812D6"/>
    <w:rPr>
      <w:rFonts w:ascii="Calibri" w:eastAsia="Calibri" w:hAnsi="Calibri"/>
      <w:lang w:val="x-none"/>
    </w:rPr>
  </w:style>
  <w:style w:type="paragraph" w:customStyle="1" w:styleId="NF">
    <w:name w:val="NF"/>
    <w:basedOn w:val="NO"/>
    <w:rsid w:val="006812D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812D6"/>
    <w:pPr>
      <w:spacing w:after="0"/>
    </w:pPr>
  </w:style>
  <w:style w:type="paragraph" w:customStyle="1" w:styleId="PL">
    <w:name w:val="PL"/>
    <w:link w:val="PLChar"/>
    <w:qFormat/>
    <w:rsid w:val="006812D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812D6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6812D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812D6"/>
    <w:rPr>
      <w:rFonts w:ascii="Courier New" w:hAnsi="Courier New"/>
      <w:lang w:val="nb-NO"/>
    </w:rPr>
  </w:style>
  <w:style w:type="character" w:styleId="Strong">
    <w:name w:val="Strong"/>
    <w:uiPriority w:val="22"/>
    <w:qFormat/>
    <w:rsid w:val="006812D6"/>
    <w:rPr>
      <w:b/>
      <w:bCs/>
    </w:rPr>
  </w:style>
  <w:style w:type="table" w:styleId="TableGrid">
    <w:name w:val="Table Grid"/>
    <w:basedOn w:val="TableNormal"/>
    <w:uiPriority w:val="59"/>
    <w:qFormat/>
    <w:rsid w:val="006812D6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6812D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812D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6812D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6812D6"/>
  </w:style>
  <w:style w:type="paragraph" w:customStyle="1" w:styleId="TALCharChar">
    <w:name w:val="TAL Char Char"/>
    <w:basedOn w:val="Normal"/>
    <w:link w:val="TALCharCharChar"/>
    <w:rsid w:val="006812D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6812D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6812D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6812D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6812D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6812D6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6812D6"/>
    <w:pPr>
      <w:spacing w:after="0" w:line="181" w:lineRule="atLeast"/>
    </w:pPr>
    <w:rPr>
      <w:rFonts w:ascii="ClassicoURW" w:hAnsi="ClassicoURW"/>
      <w:sz w:val="24"/>
      <w:szCs w:val="24"/>
      <w:lang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6812D6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812D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6812D6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812D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spacing w:val="2"/>
      <w:lang w:eastAsia="en-US"/>
    </w:rPr>
  </w:style>
  <w:style w:type="paragraph" w:customStyle="1" w:styleId="PropObs">
    <w:name w:val="PropObs"/>
    <w:basedOn w:val="Normal"/>
    <w:link w:val="PropObsChar"/>
    <w:qFormat/>
    <w:rsid w:val="006812D6"/>
    <w:pPr>
      <w:numPr>
        <w:numId w:val="13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6812D6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6812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6812D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6812D6"/>
    <w:pPr>
      <w:keepNext/>
      <w:numPr>
        <w:numId w:val="1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6812D6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6812D6"/>
    <w:pPr>
      <w:numPr>
        <w:numId w:val="15"/>
      </w:numPr>
      <w:spacing w:before="60" w:after="0"/>
    </w:pPr>
    <w:rPr>
      <w:rFonts w:ascii="Arial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6812D6"/>
    <w:rPr>
      <w:color w:val="808080"/>
    </w:rPr>
  </w:style>
  <w:style w:type="paragraph" w:customStyle="1" w:styleId="textintend1">
    <w:name w:val="text intend 1"/>
    <w:basedOn w:val="Normal"/>
    <w:rsid w:val="006812D6"/>
    <w:pPr>
      <w:numPr>
        <w:numId w:val="16"/>
      </w:numPr>
      <w:spacing w:after="120"/>
      <w:jc w:val="both"/>
    </w:pPr>
    <w:rPr>
      <w:rFonts w:eastAsia="MS Mincho"/>
      <w:sz w:val="24"/>
      <w:lang w:eastAsia="en-GB"/>
    </w:rPr>
  </w:style>
  <w:style w:type="character" w:customStyle="1" w:styleId="TACChar">
    <w:name w:val="TAC Char"/>
    <w:link w:val="TAC"/>
    <w:locked/>
    <w:rsid w:val="006812D6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6812D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nstructiontextChar">
    <w:name w:val="Instruction text Char"/>
    <w:link w:val="Instructiontext"/>
    <w:uiPriority w:val="99"/>
    <w:rsid w:val="006812D6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tabletext">
    <w:name w:val="IvD tabletext"/>
    <w:basedOn w:val="BodyText"/>
    <w:link w:val="IvDtabletextChar"/>
    <w:qFormat/>
    <w:rsid w:val="006812D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  <w:jc w:val="left"/>
    </w:pPr>
    <w:rPr>
      <w:spacing w:val="2"/>
      <w:lang w:eastAsia="en-US"/>
    </w:rPr>
  </w:style>
  <w:style w:type="character" w:customStyle="1" w:styleId="IvDtabletextChar">
    <w:name w:val="IvD tabletext Char"/>
    <w:basedOn w:val="DefaultParagraphFont"/>
    <w:link w:val="IvDtabletext"/>
    <w:rsid w:val="006812D6"/>
    <w:rPr>
      <w:rFonts w:ascii="Arial" w:hAnsi="Arial"/>
      <w:spacing w:val="2"/>
    </w:rPr>
  </w:style>
  <w:style w:type="paragraph" w:styleId="Revision">
    <w:name w:val="Revision"/>
    <w:hidden/>
    <w:uiPriority w:val="99"/>
    <w:semiHidden/>
    <w:rsid w:val="006812D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812D6"/>
    <w:rPr>
      <w:color w:val="2B579A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6812D6"/>
    <w:pPr>
      <w:spacing w:after="0"/>
      <w:jc w:val="both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6812D6"/>
    <w:pPr>
      <w:spacing w:after="0"/>
      <w:ind w:left="840"/>
      <w:jc w:val="both"/>
    </w:pPr>
    <w:rPr>
      <w:rFonts w:ascii="Yu Gothic" w:eastAsia="Yu Gothic" w:hAnsi="Yu Gothic" w:cs="Calibri"/>
      <w:sz w:val="21"/>
      <w:szCs w:val="21"/>
      <w:lang w:val="sv-SE" w:eastAsia="sv-SE"/>
    </w:rPr>
  </w:style>
  <w:style w:type="character" w:customStyle="1" w:styleId="ReferenceChar">
    <w:name w:val="Reference Char"/>
    <w:link w:val="Reference"/>
    <w:rsid w:val="006812D6"/>
    <w:rPr>
      <w:rFonts w:ascii="Arial" w:hAnsi="Arial"/>
      <w:lang w:eastAsia="zh-CN"/>
    </w:rPr>
  </w:style>
  <w:style w:type="character" w:customStyle="1" w:styleId="fontstyle01">
    <w:name w:val="fontstyle01"/>
    <w:qFormat/>
    <w:rsid w:val="006812D6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rsid w:val="006812D6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6812D6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lang w:eastAsia="ko-KR"/>
    </w:rPr>
  </w:style>
  <w:style w:type="character" w:customStyle="1" w:styleId="TALChar">
    <w:name w:val="TAL Char"/>
    <w:basedOn w:val="DefaultParagraphFont"/>
    <w:rsid w:val="006812D6"/>
    <w:rPr>
      <w:rFonts w:asciiTheme="minorHAnsi" w:eastAsiaTheme="minorHAnsi" w:hAnsiTheme="minorHAnsi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4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15/Docs/R1-2312589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15/Docs/R1-2312574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15/Docs/R1-2312581.zip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CA3EE99-EF4B-4A94-AE06-0559141FF269}"/>
</file>

<file path=customXml/itemProps2.xml><?xml version="1.0" encoding="utf-8"?>
<ds:datastoreItem xmlns:ds="http://schemas.openxmlformats.org/officeDocument/2006/customXml" ds:itemID="{BDFAC588-9CE7-4D6A-9985-EE405420FED3}"/>
</file>

<file path=customXml/itemProps3.xml><?xml version="1.0" encoding="utf-8"?>
<ds:datastoreItem xmlns:ds="http://schemas.openxmlformats.org/officeDocument/2006/customXml" ds:itemID="{4F75740D-41CB-42AF-82BE-271BC4C17D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2024-02-19T05:18:00Z</dcterms:created>
  <dcterms:modified xsi:type="dcterms:W3CDTF">2024-02-19T05:18:00Z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